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Modello di preventivo — Agenzia marketing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Data: [...]    Riferimento: [...]    Valido fino al: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DATI AZIENDA E CLIENTE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PANORAMICA CAMPAGNA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DELIVERABLE DETTAGLIATI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CONTRATTO RICORRENTE VS. PREZZO PROGETTO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CONDIZIONI DI PAGAMENTO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pPr>
        <w:pStyle w:val="Heading2"/>
        <w:spacing w:after="120" w:before="320"/>
      </w:pPr>
      <w:r>
        <w:t xml:space="preserve">PERIODO DI VALIDITÀ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i dettagli per questa sezione]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proposte migliori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Acquisisci più clienti inviando proposte professionali potenziate dall'IA in pochi minuti.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1 — Carica il tuo documento o inizia da zero</w:t>
      </w:r>
    </w:p>
    <w:p>
      <w:pPr>
        <w:spacing w:after="160"/>
      </w:pPr>
      <w:r>
        <w:rPr>
          <w:sz w:val="22"/>
          <w:szCs w:val="22"/>
        </w:rPr>
        <w:t xml:space="preserve">Incolla il testo della tua proposta esistente, carica un PDF o inizia da zero. DraftYourBid legge il tuo contesto e si mette al lavoro.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2 — Lascia che l'IA migliori la tua proposta</w:t>
      </w:r>
    </w:p>
    <w:p>
      <w:pPr>
        <w:spacing w:after="160"/>
      </w:pPr>
      <w:r>
        <w:rPr>
          <w:sz w:val="22"/>
          <w:szCs w:val="22"/>
        </w:rPr>
        <w:t xml:space="preserve">La nostra IA migliora struttura, tono e capacità persuasiva. Modifica qualsiasi sezione direttamente nel browser — senza Word o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3 — Esporta e invia</w:t>
      </w:r>
    </w:p>
    <w:p>
      <w:pPr>
        <w:spacing w:after="160"/>
      </w:pPr>
      <w:r>
        <w:rPr>
          <w:sz w:val="22"/>
          <w:szCs w:val="22"/>
        </w:rPr>
        <w:t xml:space="preserve">Scarica come PDF o DOCX professionale, oppure condividi un link con il tuo cliente. Controlla quando viene aperto.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Perché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Assistenza alla scrittura con IA in 11 lingue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Esportazione professionale in PDF e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Proposte e preventivi illimitati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Monitoraggio clienti — vedi quando la tua proposta viene aperta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Modelli per oltre 50 settori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Inizia gratuitamente su www.draftyourbid.com</w:t>
      </w:r>
    </w:p>
    <w:p>
      <w:r>
        <w:rPr>
          <w:i/>
          <w:iCs/>
          <w:color w:val="9CA3AF"/>
          <w:sz w:val="18"/>
          <w:szCs w:val="18"/>
        </w:rPr>
        <w:t xml:space="preserve">Questo modello è stato creato da DraftYourBid — il modo più veloce per scrivere proposte vincenti.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2026-07-11T05:11:29.685Z</dcterms:created>
  <dcterms:modified xsi:type="dcterms:W3CDTF">2026-07-11T05:11:29.685Z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